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C3" w:rsidRDefault="002875EB">
      <w:pPr>
        <w:shd w:val="clear" w:color="auto" w:fill="F2F2F2"/>
        <w:rPr>
          <w:rFonts w:ascii="Calibri" w:eastAsia="Calibri" w:hAnsi="Calibri" w:cs="Calibri"/>
          <w:sz w:val="24"/>
          <w:szCs w:val="24"/>
        </w:rPr>
      </w:pPr>
      <w:bookmarkStart w:id="0" w:name="_GoBack"/>
      <w:bookmarkEnd w:id="0"/>
      <w:r>
        <w:rPr>
          <w:rFonts w:ascii="Calibri" w:eastAsia="Calibri" w:hAnsi="Calibri" w:cs="Calibri"/>
          <w:sz w:val="24"/>
          <w:szCs w:val="24"/>
        </w:rPr>
        <w:t xml:space="preserve"> 211info Position Summary</w:t>
      </w:r>
      <w:r>
        <w:rPr>
          <w:rFonts w:ascii="Calibri" w:eastAsia="Calibri" w:hAnsi="Calibri" w:cs="Calibri"/>
          <w:sz w:val="24"/>
          <w:szCs w:val="24"/>
        </w:rPr>
        <w:tab/>
      </w:r>
    </w:p>
    <w:p w:rsidR="00C731C3" w:rsidRDefault="00C731C3">
      <w:pPr>
        <w:rPr>
          <w:rFonts w:ascii="Calibri" w:eastAsia="Calibri" w:hAnsi="Calibri" w:cs="Calibri"/>
          <w:sz w:val="24"/>
          <w:szCs w:val="24"/>
        </w:rPr>
      </w:pPr>
    </w:p>
    <w:tbl>
      <w:tblPr>
        <w:tblStyle w:val="a"/>
        <w:tblW w:w="20578" w:type="dxa"/>
        <w:tblLayout w:type="fixed"/>
        <w:tblLook w:val="0000" w:firstRow="0" w:lastRow="0" w:firstColumn="0" w:lastColumn="0" w:noHBand="0" w:noVBand="0"/>
      </w:tblPr>
      <w:tblGrid>
        <w:gridCol w:w="1188"/>
        <w:gridCol w:w="907"/>
        <w:gridCol w:w="2513"/>
        <w:gridCol w:w="3960"/>
        <w:gridCol w:w="2347"/>
        <w:gridCol w:w="9663"/>
      </w:tblGrid>
      <w:tr w:rsidR="00C731C3">
        <w:trPr>
          <w:gridAfter w:val="1"/>
          <w:wAfter w:w="9663" w:type="dxa"/>
        </w:trPr>
        <w:tc>
          <w:tcPr>
            <w:tcW w:w="4608" w:type="dxa"/>
            <w:gridSpan w:val="3"/>
            <w:tcBorders>
              <w:top w:val="single" w:sz="6" w:space="0" w:color="000000"/>
              <w:left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TITLE</w:t>
            </w:r>
          </w:p>
        </w:tc>
        <w:tc>
          <w:tcPr>
            <w:tcW w:w="6307" w:type="dxa"/>
            <w:gridSpan w:val="2"/>
            <w:tcBorders>
              <w:top w:val="single" w:sz="6" w:space="0" w:color="000000"/>
              <w:left w:val="nil"/>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 xml:space="preserve">REPORTS TO </w:t>
            </w:r>
          </w:p>
        </w:tc>
      </w:tr>
      <w:tr w:rsidR="00C731C3">
        <w:trPr>
          <w:gridAfter w:val="1"/>
          <w:wAfter w:w="9663" w:type="dxa"/>
        </w:trPr>
        <w:tc>
          <w:tcPr>
            <w:tcW w:w="4608" w:type="dxa"/>
            <w:gridSpan w:val="3"/>
            <w:tcBorders>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 xml:space="preserve">Statewide Housing Manager </w:t>
            </w:r>
          </w:p>
        </w:tc>
        <w:tc>
          <w:tcPr>
            <w:tcW w:w="6307" w:type="dxa"/>
            <w:gridSpan w:val="2"/>
            <w:tcBorders>
              <w:left w:val="nil"/>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 xml:space="preserve">Chief Operations Officer </w:t>
            </w:r>
          </w:p>
        </w:tc>
      </w:tr>
      <w:tr w:rsidR="00C731C3">
        <w:trPr>
          <w:gridAfter w:val="1"/>
          <w:wAfter w:w="9663" w:type="dxa"/>
        </w:trPr>
        <w:tc>
          <w:tcPr>
            <w:tcW w:w="4608" w:type="dxa"/>
            <w:gridSpan w:val="3"/>
            <w:tcBorders>
              <w:top w:val="single" w:sz="6" w:space="0" w:color="000000"/>
              <w:left w:val="single" w:sz="4"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STATUS</w:t>
            </w:r>
          </w:p>
        </w:tc>
        <w:tc>
          <w:tcPr>
            <w:tcW w:w="3960" w:type="dxa"/>
            <w:vMerge w:val="restart"/>
            <w:tcBorders>
              <w:left w:val="nil"/>
            </w:tcBorders>
          </w:tcPr>
          <w:p w:rsidR="00C731C3" w:rsidRDefault="002875EB">
            <w:pPr>
              <w:rPr>
                <w:rFonts w:ascii="Calibri" w:eastAsia="Calibri" w:hAnsi="Calibri" w:cs="Calibri"/>
                <w:sz w:val="24"/>
                <w:szCs w:val="24"/>
              </w:rPr>
            </w:pPr>
            <w:r>
              <w:rPr>
                <w:rFonts w:ascii="Calibri" w:eastAsia="Calibri" w:hAnsi="Calibri" w:cs="Calibri"/>
                <w:sz w:val="24"/>
                <w:szCs w:val="24"/>
              </w:rPr>
              <w:t>HOURS PER WEEK:  40</w:t>
            </w:r>
          </w:p>
        </w:tc>
        <w:tc>
          <w:tcPr>
            <w:tcW w:w="2347" w:type="dxa"/>
            <w:vMerge w:val="restart"/>
            <w:tcBorders>
              <w:right w:val="single" w:sz="6" w:space="0" w:color="000000"/>
            </w:tcBorders>
          </w:tcPr>
          <w:p w:rsidR="00C731C3" w:rsidRDefault="00C731C3">
            <w:pPr>
              <w:rPr>
                <w:rFonts w:ascii="Calibri" w:eastAsia="Calibri" w:hAnsi="Calibri" w:cs="Calibri"/>
                <w:sz w:val="24"/>
                <w:szCs w:val="24"/>
              </w:rPr>
            </w:pPr>
          </w:p>
        </w:tc>
      </w:tr>
      <w:tr w:rsidR="00C731C3">
        <w:trPr>
          <w:gridAfter w:val="1"/>
          <w:wAfter w:w="9663" w:type="dxa"/>
          <w:trHeight w:val="342"/>
        </w:trPr>
        <w:tc>
          <w:tcPr>
            <w:tcW w:w="2095" w:type="dxa"/>
            <w:gridSpan w:val="2"/>
            <w:tcBorders>
              <w:left w:val="single" w:sz="6" w:space="0" w:color="000000"/>
              <w:bottom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 xml:space="preserve">   Exempt</w:t>
            </w:r>
          </w:p>
        </w:tc>
        <w:tc>
          <w:tcPr>
            <w:tcW w:w="2513" w:type="dxa"/>
            <w:tcBorders>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 xml:space="preserve">   X Non-Exempt</w:t>
            </w:r>
          </w:p>
        </w:tc>
        <w:tc>
          <w:tcPr>
            <w:tcW w:w="3960" w:type="dxa"/>
            <w:vMerge/>
            <w:tcBorders>
              <w:left w:val="nil"/>
            </w:tcBorders>
          </w:tcPr>
          <w:p w:rsidR="00C731C3" w:rsidRDefault="00C731C3">
            <w:pPr>
              <w:widowControl w:val="0"/>
              <w:pBdr>
                <w:top w:val="nil"/>
                <w:left w:val="nil"/>
                <w:bottom w:val="nil"/>
                <w:right w:val="nil"/>
                <w:between w:val="nil"/>
              </w:pBdr>
              <w:spacing w:line="276" w:lineRule="auto"/>
              <w:rPr>
                <w:rFonts w:ascii="Calibri" w:eastAsia="Calibri" w:hAnsi="Calibri" w:cs="Calibri"/>
                <w:sz w:val="24"/>
                <w:szCs w:val="24"/>
              </w:rPr>
            </w:pPr>
          </w:p>
        </w:tc>
        <w:tc>
          <w:tcPr>
            <w:tcW w:w="2347" w:type="dxa"/>
            <w:vMerge/>
            <w:tcBorders>
              <w:right w:val="single" w:sz="6" w:space="0" w:color="000000"/>
            </w:tcBorders>
          </w:tcPr>
          <w:p w:rsidR="00C731C3" w:rsidRDefault="00C731C3">
            <w:pPr>
              <w:widowControl w:val="0"/>
              <w:pBdr>
                <w:top w:val="nil"/>
                <w:left w:val="nil"/>
                <w:bottom w:val="nil"/>
                <w:right w:val="nil"/>
                <w:between w:val="nil"/>
              </w:pBdr>
              <w:spacing w:line="276" w:lineRule="auto"/>
              <w:rPr>
                <w:rFonts w:ascii="Calibri" w:eastAsia="Calibri" w:hAnsi="Calibri" w:cs="Calibri"/>
                <w:sz w:val="24"/>
                <w:szCs w:val="24"/>
              </w:rPr>
            </w:pPr>
          </w:p>
        </w:tc>
      </w:tr>
      <w:tr w:rsidR="00C731C3">
        <w:trPr>
          <w:gridAfter w:val="1"/>
          <w:wAfter w:w="9663" w:type="dxa"/>
          <w:trHeight w:val="165"/>
        </w:trPr>
        <w:tc>
          <w:tcPr>
            <w:tcW w:w="10915" w:type="dxa"/>
            <w:gridSpan w:val="5"/>
            <w:tcBorders>
              <w:bottom w:val="single" w:sz="6" w:space="0" w:color="000000"/>
            </w:tcBorders>
          </w:tcPr>
          <w:p w:rsidR="00C731C3" w:rsidRDefault="00C731C3">
            <w:pPr>
              <w:rPr>
                <w:rFonts w:ascii="Calibri" w:eastAsia="Calibri" w:hAnsi="Calibri" w:cs="Calibri"/>
                <w:b/>
                <w:sz w:val="24"/>
                <w:szCs w:val="24"/>
              </w:rPr>
            </w:pPr>
          </w:p>
        </w:tc>
      </w:tr>
      <w:tr w:rsidR="00C731C3">
        <w:trPr>
          <w:gridAfter w:val="1"/>
          <w:wAfter w:w="9663" w:type="dxa"/>
          <w:trHeight w:val="372"/>
        </w:trPr>
        <w:tc>
          <w:tcPr>
            <w:tcW w:w="10915" w:type="dxa"/>
            <w:gridSpan w:val="5"/>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b/>
                <w:sz w:val="24"/>
                <w:szCs w:val="24"/>
              </w:rPr>
            </w:pPr>
            <w:r>
              <w:rPr>
                <w:rFonts w:ascii="Calibri" w:eastAsia="Calibri" w:hAnsi="Calibri" w:cs="Calibri"/>
                <w:b/>
                <w:sz w:val="24"/>
                <w:szCs w:val="24"/>
              </w:rPr>
              <w:t xml:space="preserve">MISSION: </w:t>
            </w:r>
            <w:r>
              <w:rPr>
                <w:rFonts w:ascii="Calibri" w:eastAsia="Calibri" w:hAnsi="Calibri" w:cs="Calibri"/>
                <w:sz w:val="24"/>
                <w:szCs w:val="24"/>
              </w:rPr>
              <w:t>Our central hub empowers Oregon and Southwest Washington communities by helping people identify, navigate and connect with the local resources they need.</w:t>
            </w:r>
          </w:p>
        </w:tc>
      </w:tr>
      <w:tr w:rsidR="00C731C3">
        <w:trPr>
          <w:gridAfter w:val="1"/>
          <w:wAfter w:w="9663" w:type="dxa"/>
        </w:trPr>
        <w:tc>
          <w:tcPr>
            <w:tcW w:w="10915" w:type="dxa"/>
            <w:gridSpan w:val="5"/>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b/>
                <w:sz w:val="24"/>
                <w:szCs w:val="24"/>
              </w:rPr>
              <w:t>CORE FUNCTION</w:t>
            </w:r>
            <w:r>
              <w:rPr>
                <w:rFonts w:ascii="Calibri" w:eastAsia="Calibri" w:hAnsi="Calibri" w:cs="Calibri"/>
                <w:sz w:val="24"/>
                <w:szCs w:val="24"/>
              </w:rPr>
              <w:t>: The Statewide Housing Manager is responsible</w:t>
            </w:r>
            <w:r>
              <w:rPr>
                <w:rFonts w:ascii="Calibri" w:eastAsia="Calibri" w:hAnsi="Calibri" w:cs="Calibri"/>
                <w:color w:val="202124"/>
                <w:sz w:val="24"/>
                <w:szCs w:val="24"/>
                <w:highlight w:val="white"/>
              </w:rPr>
              <w:t xml:space="preserve"> for the strategic vision and daily operat</w:t>
            </w:r>
            <w:r>
              <w:rPr>
                <w:rFonts w:ascii="Calibri" w:eastAsia="Calibri" w:hAnsi="Calibri" w:cs="Calibri"/>
                <w:color w:val="202124"/>
                <w:sz w:val="24"/>
                <w:szCs w:val="24"/>
                <w:highlight w:val="white"/>
              </w:rPr>
              <w:t>ions of 211info's statewide housing efforts. 211info provides information to community members about statewide housing resources. The SWH Manager ensures that the organization is responsive to community needs through our resource database, outreach and eng</w:t>
            </w:r>
            <w:r>
              <w:rPr>
                <w:rFonts w:ascii="Calibri" w:eastAsia="Calibri" w:hAnsi="Calibri" w:cs="Calibri"/>
                <w:color w:val="202124"/>
                <w:sz w:val="24"/>
                <w:szCs w:val="24"/>
                <w:highlight w:val="white"/>
              </w:rPr>
              <w:t xml:space="preserve">agement, and contact center. </w:t>
            </w:r>
          </w:p>
        </w:tc>
      </w:tr>
      <w:tr w:rsidR="00C731C3">
        <w:trPr>
          <w:gridAfter w:val="1"/>
          <w:wAfter w:w="9663" w:type="dxa"/>
          <w:trHeight w:val="120"/>
        </w:trPr>
        <w:tc>
          <w:tcPr>
            <w:tcW w:w="10915" w:type="dxa"/>
            <w:gridSpan w:val="5"/>
            <w:tcBorders>
              <w:bottom w:val="single" w:sz="6" w:space="0" w:color="000000"/>
            </w:tcBorders>
          </w:tcPr>
          <w:p w:rsidR="00C731C3" w:rsidRDefault="00C731C3">
            <w:pPr>
              <w:rPr>
                <w:rFonts w:ascii="Calibri" w:eastAsia="Calibri" w:hAnsi="Calibri" w:cs="Calibri"/>
                <w:sz w:val="24"/>
                <w:szCs w:val="24"/>
              </w:rPr>
            </w:pPr>
          </w:p>
        </w:tc>
      </w:tr>
      <w:tr w:rsidR="00C731C3">
        <w:trPr>
          <w:gridAfter w:val="1"/>
          <w:wAfter w:w="9663" w:type="dxa"/>
          <w:trHeight w:val="408"/>
        </w:trPr>
        <w:tc>
          <w:tcPr>
            <w:tcW w:w="10915" w:type="dxa"/>
            <w:gridSpan w:val="5"/>
            <w:tcBorders>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b/>
                <w:sz w:val="24"/>
                <w:szCs w:val="24"/>
              </w:rPr>
              <w:t>CORE ACCOUNTABILITIES</w:t>
            </w:r>
            <w:r>
              <w:rPr>
                <w:rFonts w:ascii="Calibri" w:eastAsia="Calibri" w:hAnsi="Calibri" w:cs="Calibri"/>
                <w:sz w:val="24"/>
                <w:szCs w:val="24"/>
              </w:rPr>
              <w:t>:</w:t>
            </w:r>
          </w:p>
        </w:tc>
      </w:tr>
      <w:tr w:rsidR="00C731C3">
        <w:trPr>
          <w:gridAfter w:val="1"/>
          <w:wAfter w:w="9663" w:type="dxa"/>
          <w:trHeight w:val="480"/>
        </w:trPr>
        <w:tc>
          <w:tcPr>
            <w:tcW w:w="118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90%</w:t>
            </w:r>
          </w:p>
        </w:tc>
        <w:tc>
          <w:tcPr>
            <w:tcW w:w="9727" w:type="dxa"/>
            <w:gridSpan w:val="4"/>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2"/>
                <w:szCs w:val="22"/>
              </w:rPr>
            </w:pPr>
            <w:r>
              <w:rPr>
                <w:rFonts w:ascii="Calibri" w:eastAsia="Calibri" w:hAnsi="Calibri" w:cs="Calibri"/>
                <w:sz w:val="22"/>
                <w:szCs w:val="22"/>
              </w:rPr>
              <w:t>Supports 211info statewide housing efforts including resource management, planning, staff support, outreach and engagement, emergency management and focus on diversity, equity and inclusion.</w:t>
            </w:r>
          </w:p>
          <w:p w:rsidR="00C731C3" w:rsidRDefault="002875E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Resource Management: support the resource department in updating and maintaining statewide housing resource information.</w:t>
            </w:r>
          </w:p>
          <w:p w:rsidR="00C731C3" w:rsidRDefault="002875E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Staff Support: support the contact center staff by maintaining information and training materials relating to statewide housing resources. Communicate with staff about important changes to housing programs.</w:t>
            </w:r>
          </w:p>
          <w:p w:rsidR="00C731C3" w:rsidRDefault="002875E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Outreach and Engagement: External: build relation</w:t>
            </w:r>
            <w:r>
              <w:rPr>
                <w:rFonts w:ascii="Calibri" w:eastAsia="Calibri" w:hAnsi="Calibri" w:cs="Calibri"/>
                <w:color w:val="000000"/>
                <w:sz w:val="22"/>
                <w:szCs w:val="22"/>
              </w:rPr>
              <w:t>ships with statewide housing partners. Attend meetings, be responsive to emails and communications, etc. Internal: work with managers to ensure quality assurance</w:t>
            </w:r>
          </w:p>
          <w:p w:rsidR="00C731C3" w:rsidRDefault="002875E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Emergency Management: flexible schedule required for emergency response. be available during e</w:t>
            </w:r>
            <w:r>
              <w:rPr>
                <w:rFonts w:ascii="Calibri" w:eastAsia="Calibri" w:hAnsi="Calibri" w:cs="Calibri"/>
                <w:color w:val="000000"/>
                <w:sz w:val="22"/>
                <w:szCs w:val="22"/>
              </w:rPr>
              <w:t>mergency/incident response to help support community members by ensuring that sheltering and post-disaster housing information is up to date and available across the state.</w:t>
            </w:r>
          </w:p>
          <w:p w:rsidR="00C731C3" w:rsidRDefault="002875EB">
            <w:pPr>
              <w:numPr>
                <w:ilvl w:val="0"/>
                <w:numId w:val="1"/>
              </w:numPr>
              <w:pBdr>
                <w:top w:val="nil"/>
                <w:left w:val="nil"/>
                <w:bottom w:val="nil"/>
                <w:right w:val="nil"/>
                <w:between w:val="nil"/>
              </w:pBdr>
              <w:rPr>
                <w:rFonts w:ascii="Arial" w:eastAsia="Arial" w:hAnsi="Arial" w:cs="Arial"/>
                <w:color w:val="000000"/>
                <w:sz w:val="22"/>
                <w:szCs w:val="22"/>
              </w:rPr>
            </w:pPr>
            <w:r>
              <w:rPr>
                <w:rFonts w:ascii="Calibri" w:eastAsia="Calibri" w:hAnsi="Calibri" w:cs="Calibri"/>
                <w:color w:val="000000"/>
                <w:sz w:val="22"/>
                <w:szCs w:val="22"/>
              </w:rPr>
              <w:t>Virtual/Remote: some travel may be required, but vehicle not required. Live in or h</w:t>
            </w:r>
            <w:r>
              <w:rPr>
                <w:rFonts w:ascii="Calibri" w:eastAsia="Calibri" w:hAnsi="Calibri" w:cs="Calibri"/>
                <w:color w:val="000000"/>
                <w:sz w:val="22"/>
                <w:szCs w:val="22"/>
              </w:rPr>
              <w:t>ave deep understanding/connection with Oregon.</w:t>
            </w:r>
            <w:r>
              <w:rPr>
                <w:rFonts w:ascii="Calibri" w:eastAsia="Calibri" w:hAnsi="Calibri" w:cs="Calibri"/>
                <w:color w:val="000000"/>
                <w:sz w:val="24"/>
                <w:szCs w:val="24"/>
              </w:rPr>
              <w:t xml:space="preserve"> </w:t>
            </w:r>
          </w:p>
        </w:tc>
      </w:tr>
      <w:tr w:rsidR="00C731C3">
        <w:trPr>
          <w:trHeight w:val="282"/>
        </w:trPr>
        <w:tc>
          <w:tcPr>
            <w:tcW w:w="118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10%</w:t>
            </w:r>
          </w:p>
        </w:tc>
        <w:tc>
          <w:tcPr>
            <w:tcW w:w="9727" w:type="dxa"/>
            <w:gridSpan w:val="4"/>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2"/>
                <w:szCs w:val="22"/>
              </w:rPr>
            </w:pPr>
            <w:r>
              <w:rPr>
                <w:rFonts w:ascii="Calibri" w:eastAsia="Calibri" w:hAnsi="Calibri" w:cs="Calibri"/>
                <w:b/>
                <w:sz w:val="22"/>
                <w:szCs w:val="22"/>
              </w:rPr>
              <w:t>Participate in 211info leadership:</w:t>
            </w:r>
            <w:r>
              <w:rPr>
                <w:rFonts w:ascii="Calibri" w:eastAsia="Calibri" w:hAnsi="Calibri" w:cs="Calibri"/>
                <w:sz w:val="22"/>
                <w:szCs w:val="22"/>
              </w:rPr>
              <w:t xml:space="preserve"> Participate in the Operations Team to advise on and develop 211info’s strategies, policies, contract agreements and maintain measurable program objectives. Assist in reviewing proposals for services. Assist in integration of specialty programs with core o</w:t>
            </w:r>
            <w:r>
              <w:rPr>
                <w:rFonts w:ascii="Calibri" w:eastAsia="Calibri" w:hAnsi="Calibri" w:cs="Calibri"/>
                <w:sz w:val="22"/>
                <w:szCs w:val="22"/>
              </w:rPr>
              <w:t>perations.</w:t>
            </w:r>
          </w:p>
        </w:tc>
        <w:tc>
          <w:tcPr>
            <w:tcW w:w="9663" w:type="dxa"/>
          </w:tcPr>
          <w:p w:rsidR="00C731C3" w:rsidRDefault="00C731C3">
            <w:pPr>
              <w:rPr>
                <w:rFonts w:ascii="Calibri" w:eastAsia="Calibri" w:hAnsi="Calibri" w:cs="Calibri"/>
                <w:sz w:val="22"/>
                <w:szCs w:val="22"/>
              </w:rPr>
            </w:pPr>
          </w:p>
        </w:tc>
      </w:tr>
    </w:tbl>
    <w:p w:rsidR="00C731C3" w:rsidRDefault="00C731C3">
      <w:pPr>
        <w:rPr>
          <w:rFonts w:ascii="Calibri" w:eastAsia="Calibri" w:hAnsi="Calibri" w:cs="Calibri"/>
          <w:sz w:val="24"/>
          <w:szCs w:val="24"/>
        </w:rPr>
      </w:pPr>
    </w:p>
    <w:tbl>
      <w:tblPr>
        <w:tblStyle w:val="a0"/>
        <w:tblW w:w="10908" w:type="dxa"/>
        <w:tblLayout w:type="fixed"/>
        <w:tblLook w:val="0000" w:firstRow="0" w:lastRow="0" w:firstColumn="0" w:lastColumn="0" w:noHBand="0" w:noVBand="0"/>
      </w:tblPr>
      <w:tblGrid>
        <w:gridCol w:w="10908"/>
      </w:tblGrid>
      <w:tr w:rsidR="00C731C3">
        <w:trPr>
          <w:trHeight w:val="327"/>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b/>
                <w:sz w:val="24"/>
                <w:szCs w:val="24"/>
              </w:rPr>
              <w:t>CORE COMPETENCIES</w:t>
            </w:r>
            <w:r>
              <w:rPr>
                <w:rFonts w:ascii="Calibri" w:eastAsia="Calibri" w:hAnsi="Calibri" w:cs="Calibri"/>
                <w:sz w:val="24"/>
                <w:szCs w:val="24"/>
              </w:rPr>
              <w:t xml:space="preserve">: </w:t>
            </w:r>
          </w:p>
        </w:tc>
      </w:tr>
      <w:tr w:rsidR="00C731C3">
        <w:trPr>
          <w:trHeight w:val="65"/>
        </w:trPr>
        <w:tc>
          <w:tcPr>
            <w:tcW w:w="10908" w:type="dxa"/>
          </w:tcPr>
          <w:p w:rsidR="00C731C3" w:rsidRDefault="00C731C3">
            <w:pPr>
              <w:rPr>
                <w:rFonts w:ascii="Calibri" w:eastAsia="Calibri" w:hAnsi="Calibri" w:cs="Calibri"/>
                <w:sz w:val="24"/>
                <w:szCs w:val="24"/>
              </w:rPr>
            </w:pPr>
          </w:p>
        </w:tc>
      </w:tr>
      <w:tr w:rsidR="00C731C3">
        <w:trPr>
          <w:trHeight w:val="480"/>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2"/>
                <w:szCs w:val="22"/>
              </w:rPr>
            </w:pPr>
            <w:r>
              <w:rPr>
                <w:rFonts w:ascii="Calibri" w:eastAsia="Calibri" w:hAnsi="Calibri" w:cs="Calibri"/>
                <w:b/>
                <w:sz w:val="22"/>
                <w:szCs w:val="22"/>
              </w:rPr>
              <w:t>Forward Thinking:</w:t>
            </w:r>
            <w:r>
              <w:rPr>
                <w:rFonts w:ascii="Calibri" w:eastAsia="Calibri" w:hAnsi="Calibri" w:cs="Calibri"/>
                <w:sz w:val="22"/>
                <w:szCs w:val="22"/>
              </w:rPr>
              <w:t xml:space="preserve"> Consider efficiencies, explore options and engage in creative problem-solving.</w:t>
            </w:r>
          </w:p>
        </w:tc>
      </w:tr>
      <w:tr w:rsidR="00C731C3">
        <w:trPr>
          <w:trHeight w:val="480"/>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2"/>
                <w:szCs w:val="22"/>
              </w:rPr>
            </w:pPr>
            <w:r>
              <w:rPr>
                <w:rFonts w:ascii="Calibri" w:eastAsia="Calibri" w:hAnsi="Calibri" w:cs="Calibri"/>
                <w:b/>
                <w:sz w:val="22"/>
                <w:szCs w:val="22"/>
              </w:rPr>
              <w:t>Critical Thinking:</w:t>
            </w:r>
            <w:r>
              <w:rPr>
                <w:rFonts w:ascii="Calibri" w:eastAsia="Calibri" w:hAnsi="Calibri" w:cs="Calibri"/>
                <w:sz w:val="22"/>
                <w:szCs w:val="22"/>
              </w:rPr>
              <w:t xml:space="preserve"> Evaluate data reports to identify and implement improvements in service delivery. </w:t>
            </w:r>
          </w:p>
        </w:tc>
      </w:tr>
      <w:tr w:rsidR="00C731C3">
        <w:trPr>
          <w:trHeight w:val="288"/>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2"/>
                <w:szCs w:val="22"/>
              </w:rPr>
            </w:pPr>
            <w:r>
              <w:rPr>
                <w:rFonts w:ascii="Calibri" w:eastAsia="Calibri" w:hAnsi="Calibri" w:cs="Calibri"/>
                <w:b/>
                <w:sz w:val="22"/>
                <w:szCs w:val="22"/>
              </w:rPr>
              <w:t xml:space="preserve">Results Orientation: </w:t>
            </w:r>
            <w:r>
              <w:rPr>
                <w:rFonts w:ascii="Calibri" w:eastAsia="Calibri" w:hAnsi="Calibri" w:cs="Calibri"/>
                <w:sz w:val="22"/>
                <w:szCs w:val="22"/>
              </w:rPr>
              <w:t>Achieve high levels of personal and organizational performance. Team success is an important measure of individual success.</w:t>
            </w:r>
          </w:p>
        </w:tc>
      </w:tr>
      <w:tr w:rsidR="00C731C3">
        <w:trPr>
          <w:trHeight w:val="350"/>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b/>
                <w:sz w:val="24"/>
                <w:szCs w:val="24"/>
              </w:rPr>
              <w:t>Flexibility:</w:t>
            </w:r>
            <w:r>
              <w:rPr>
                <w:rFonts w:ascii="Calibri" w:eastAsia="Calibri" w:hAnsi="Calibri" w:cs="Calibri"/>
                <w:sz w:val="24"/>
                <w:szCs w:val="24"/>
              </w:rPr>
              <w:t xml:space="preserve"> React and adjust positively to change. </w:t>
            </w:r>
          </w:p>
        </w:tc>
      </w:tr>
      <w:tr w:rsidR="00C731C3">
        <w:trPr>
          <w:trHeight w:val="480"/>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b/>
                <w:sz w:val="24"/>
                <w:szCs w:val="24"/>
              </w:rPr>
              <w:t>Cultural Competency:</w:t>
            </w:r>
            <w:r>
              <w:rPr>
                <w:rFonts w:ascii="Calibri" w:eastAsia="Calibri" w:hAnsi="Calibri" w:cs="Calibri"/>
                <w:sz w:val="24"/>
                <w:szCs w:val="24"/>
              </w:rPr>
              <w:t xml:space="preserve"> Work effectively with diverse staff</w:t>
            </w:r>
            <w:r>
              <w:rPr>
                <w:rFonts w:ascii="Calibri" w:eastAsia="Calibri" w:hAnsi="Calibri" w:cs="Calibri"/>
                <w:sz w:val="24"/>
                <w:szCs w:val="24"/>
              </w:rPr>
              <w:t xml:space="preserve"> and partners; use communication tools and training methods that are tailored for people with different learning styles, ages, educational levels and socioeconomic backgrounds. </w:t>
            </w:r>
          </w:p>
        </w:tc>
      </w:tr>
      <w:tr w:rsidR="00C731C3">
        <w:trPr>
          <w:trHeight w:val="288"/>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b/>
                <w:sz w:val="24"/>
                <w:szCs w:val="24"/>
              </w:rPr>
            </w:pPr>
            <w:r>
              <w:rPr>
                <w:rFonts w:ascii="Calibri" w:eastAsia="Calibri" w:hAnsi="Calibri" w:cs="Calibri"/>
                <w:b/>
                <w:sz w:val="24"/>
                <w:szCs w:val="24"/>
              </w:rPr>
              <w:t>Promote Shared Values:</w:t>
            </w:r>
            <w:r>
              <w:rPr>
                <w:rFonts w:ascii="Calibri" w:eastAsia="Calibri" w:hAnsi="Calibri" w:cs="Calibri"/>
                <w:sz w:val="24"/>
                <w:szCs w:val="24"/>
              </w:rPr>
              <w:t xml:space="preserve"> Build internal support for 211info values and represen</w:t>
            </w:r>
            <w:r>
              <w:rPr>
                <w:rFonts w:ascii="Calibri" w:eastAsia="Calibri" w:hAnsi="Calibri" w:cs="Calibri"/>
                <w:sz w:val="24"/>
                <w:szCs w:val="24"/>
              </w:rPr>
              <w:t>t the agency positively in public.</w:t>
            </w:r>
          </w:p>
        </w:tc>
      </w:tr>
      <w:tr w:rsidR="00C731C3">
        <w:trPr>
          <w:trHeight w:val="288"/>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b/>
                <w:sz w:val="24"/>
                <w:szCs w:val="24"/>
              </w:rPr>
              <w:lastRenderedPageBreak/>
              <w:t>Teamwork:</w:t>
            </w:r>
            <w:r>
              <w:rPr>
                <w:rFonts w:ascii="Calibri" w:eastAsia="Calibri" w:hAnsi="Calibri" w:cs="Calibri"/>
                <w:sz w:val="24"/>
                <w:szCs w:val="24"/>
              </w:rPr>
              <w:t xml:space="preserve"> Work collaboratively to improve teambuilding and internal communications.</w:t>
            </w:r>
          </w:p>
        </w:tc>
      </w:tr>
      <w:tr w:rsidR="00C731C3">
        <w:trPr>
          <w:trHeight w:val="288"/>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2"/>
                <w:szCs w:val="22"/>
              </w:rPr>
            </w:pPr>
            <w:r>
              <w:rPr>
                <w:rFonts w:ascii="Calibri" w:eastAsia="Calibri" w:hAnsi="Calibri" w:cs="Calibri"/>
                <w:b/>
                <w:sz w:val="22"/>
                <w:szCs w:val="22"/>
              </w:rPr>
              <w:t>Customer Service Focus:</w:t>
            </w:r>
            <w:r>
              <w:rPr>
                <w:rFonts w:ascii="Calibri" w:eastAsia="Calibri" w:hAnsi="Calibri" w:cs="Calibri"/>
                <w:sz w:val="22"/>
                <w:szCs w:val="22"/>
              </w:rPr>
              <w:t xml:space="preserve"> Seek methods to improve external and internal customer service to improve agency operations. </w:t>
            </w:r>
          </w:p>
        </w:tc>
      </w:tr>
    </w:tbl>
    <w:p w:rsidR="00C731C3" w:rsidRDefault="00C731C3">
      <w:pPr>
        <w:rPr>
          <w:rFonts w:ascii="Calibri" w:eastAsia="Calibri" w:hAnsi="Calibri" w:cs="Calibri"/>
          <w:sz w:val="24"/>
          <w:szCs w:val="24"/>
        </w:rPr>
      </w:pPr>
    </w:p>
    <w:tbl>
      <w:tblPr>
        <w:tblStyle w:val="a1"/>
        <w:tblW w:w="10908" w:type="dxa"/>
        <w:tblLayout w:type="fixed"/>
        <w:tblLook w:val="0000" w:firstRow="0" w:lastRow="0" w:firstColumn="0" w:lastColumn="0" w:noHBand="0" w:noVBand="0"/>
      </w:tblPr>
      <w:tblGrid>
        <w:gridCol w:w="10908"/>
      </w:tblGrid>
      <w:tr w:rsidR="00C731C3">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b/>
                <w:sz w:val="24"/>
                <w:szCs w:val="24"/>
              </w:rPr>
              <w:t>QUALIFICATIONS</w:t>
            </w:r>
            <w:r>
              <w:rPr>
                <w:rFonts w:ascii="Calibri" w:eastAsia="Calibri" w:hAnsi="Calibri" w:cs="Calibri"/>
                <w:sz w:val="24"/>
                <w:szCs w:val="24"/>
              </w:rPr>
              <w:t>:</w:t>
            </w:r>
          </w:p>
        </w:tc>
      </w:tr>
      <w:tr w:rsidR="00C731C3">
        <w:tc>
          <w:tcPr>
            <w:tcW w:w="10908" w:type="dxa"/>
          </w:tcPr>
          <w:p w:rsidR="00C731C3" w:rsidRDefault="00C731C3">
            <w:pPr>
              <w:rPr>
                <w:rFonts w:ascii="Calibri" w:eastAsia="Calibri" w:hAnsi="Calibri" w:cs="Calibri"/>
                <w:sz w:val="24"/>
                <w:szCs w:val="24"/>
              </w:rPr>
            </w:pPr>
          </w:p>
        </w:tc>
      </w:tr>
      <w:tr w:rsidR="00C731C3">
        <w:trPr>
          <w:trHeight w:val="345"/>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2"/>
                <w:szCs w:val="22"/>
              </w:rPr>
              <w:t>Minimum three years of crisis intervention/hotline service, or three years of experience working with a social service organization or call center.</w:t>
            </w:r>
          </w:p>
        </w:tc>
      </w:tr>
      <w:tr w:rsidR="00C731C3">
        <w:trPr>
          <w:trHeight w:val="345"/>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2"/>
                <w:szCs w:val="22"/>
              </w:rPr>
            </w:pPr>
            <w:r>
              <w:rPr>
                <w:rFonts w:ascii="Calibri" w:eastAsia="Calibri" w:hAnsi="Calibri" w:cs="Calibri"/>
                <w:sz w:val="22"/>
                <w:szCs w:val="22"/>
              </w:rPr>
              <w:t>Minimum one year of supervisory experience.</w:t>
            </w:r>
          </w:p>
        </w:tc>
      </w:tr>
      <w:tr w:rsidR="00C731C3">
        <w:trPr>
          <w:trHeight w:val="345"/>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Analytical skills to identify practical solutions to barri</w:t>
            </w:r>
            <w:r>
              <w:rPr>
                <w:rFonts w:ascii="Calibri" w:eastAsia="Calibri" w:hAnsi="Calibri" w:cs="Calibri"/>
                <w:sz w:val="24"/>
                <w:szCs w:val="24"/>
              </w:rPr>
              <w:t>ers and service gaps that prevent people from receiving the assistance they need.</w:t>
            </w:r>
          </w:p>
        </w:tc>
      </w:tr>
      <w:tr w:rsidR="00C731C3">
        <w:trPr>
          <w:trHeight w:val="345"/>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Deep understanding of the principles of health equity and the social determinants of health.</w:t>
            </w:r>
          </w:p>
        </w:tc>
      </w:tr>
      <w:tr w:rsidR="00C731C3">
        <w:trPr>
          <w:trHeight w:val="345"/>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 xml:space="preserve">Ability to interact successfully with diverse constituencies and colleagues. </w:t>
            </w:r>
          </w:p>
        </w:tc>
      </w:tr>
      <w:tr w:rsidR="00C731C3">
        <w:trPr>
          <w:trHeight w:val="345"/>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Knowledge of social services and health programs in Oregon and Southwest Washington.</w:t>
            </w:r>
          </w:p>
        </w:tc>
      </w:tr>
      <w:tr w:rsidR="00C731C3">
        <w:trPr>
          <w:trHeight w:val="345"/>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Excellent spelling and grammar with strict adherence to database and confidentiality protocols.</w:t>
            </w:r>
          </w:p>
        </w:tc>
      </w:tr>
      <w:tr w:rsidR="00C731C3">
        <w:trPr>
          <w:trHeight w:val="345"/>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Ability to use databases with attention to detail and systemic consistency.</w:t>
            </w:r>
          </w:p>
        </w:tc>
      </w:tr>
      <w:tr w:rsidR="00C731C3">
        <w:trPr>
          <w:trHeight w:val="345"/>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sz w:val="24"/>
                <w:szCs w:val="24"/>
              </w:rPr>
              <w:t>Bilingual preferred.</w:t>
            </w:r>
          </w:p>
        </w:tc>
      </w:tr>
      <w:tr w:rsidR="00C731C3">
        <w:trPr>
          <w:trHeight w:val="165"/>
        </w:trPr>
        <w:tc>
          <w:tcPr>
            <w:tcW w:w="10908" w:type="dxa"/>
          </w:tcPr>
          <w:p w:rsidR="00C731C3" w:rsidRDefault="00C731C3">
            <w:pPr>
              <w:rPr>
                <w:rFonts w:ascii="Calibri" w:eastAsia="Calibri" w:hAnsi="Calibri" w:cs="Calibri"/>
                <w:sz w:val="24"/>
                <w:szCs w:val="24"/>
              </w:rPr>
            </w:pPr>
          </w:p>
        </w:tc>
      </w:tr>
      <w:tr w:rsidR="00C731C3">
        <w:trPr>
          <w:trHeight w:val="480"/>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b/>
                <w:sz w:val="24"/>
                <w:szCs w:val="24"/>
              </w:rPr>
              <w:t>AGREEMENT</w:t>
            </w:r>
            <w:r>
              <w:rPr>
                <w:rFonts w:ascii="Calibri" w:eastAsia="Calibri" w:hAnsi="Calibri" w:cs="Calibri"/>
                <w:sz w:val="24"/>
                <w:szCs w:val="24"/>
              </w:rPr>
              <w:t>: Upon acceptance of employment, employee and supervisor’s signatures confirm that this job description has been reviewed and is understood to def</w:t>
            </w:r>
            <w:r>
              <w:rPr>
                <w:rFonts w:ascii="Calibri" w:eastAsia="Calibri" w:hAnsi="Calibri" w:cs="Calibri"/>
                <w:sz w:val="24"/>
                <w:szCs w:val="24"/>
              </w:rPr>
              <w:t xml:space="preserve">ine the scope of work to be completed. I understand that this in no way constitutes an exhaustive list of my job duties, and that essential job functions/results may be subject to change at any time. The work schedule and program procedures are subject to </w:t>
            </w:r>
            <w:r>
              <w:rPr>
                <w:rFonts w:ascii="Calibri" w:eastAsia="Calibri" w:hAnsi="Calibri" w:cs="Calibri"/>
                <w:sz w:val="24"/>
                <w:szCs w:val="24"/>
              </w:rPr>
              <w:t>change at any time. Continued employment after any change shall constitute acceptance by the employee.</w:t>
            </w:r>
          </w:p>
          <w:p w:rsidR="00C731C3" w:rsidRDefault="00C731C3">
            <w:pPr>
              <w:rPr>
                <w:rFonts w:ascii="Calibri" w:eastAsia="Calibri" w:hAnsi="Calibri" w:cs="Calibri"/>
                <w:sz w:val="24"/>
                <w:szCs w:val="24"/>
              </w:rPr>
            </w:pPr>
          </w:p>
        </w:tc>
      </w:tr>
      <w:tr w:rsidR="00C731C3">
        <w:trPr>
          <w:trHeight w:val="480"/>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b/>
                <w:sz w:val="24"/>
                <w:szCs w:val="24"/>
              </w:rPr>
            </w:pPr>
            <w:r>
              <w:rPr>
                <w:rFonts w:ascii="Calibri" w:eastAsia="Calibri" w:hAnsi="Calibri" w:cs="Calibri"/>
                <w:b/>
                <w:sz w:val="24"/>
                <w:szCs w:val="24"/>
              </w:rPr>
              <w:t xml:space="preserve">Employee (print name): </w:t>
            </w:r>
          </w:p>
          <w:p w:rsidR="00C731C3" w:rsidRDefault="00C731C3">
            <w:pPr>
              <w:rPr>
                <w:rFonts w:ascii="Calibri" w:eastAsia="Calibri" w:hAnsi="Calibri" w:cs="Calibri"/>
                <w:sz w:val="24"/>
                <w:szCs w:val="24"/>
              </w:rPr>
            </w:pPr>
          </w:p>
          <w:p w:rsidR="00C731C3" w:rsidRDefault="00C731C3">
            <w:pPr>
              <w:rPr>
                <w:rFonts w:ascii="Calibri" w:eastAsia="Calibri" w:hAnsi="Calibri" w:cs="Calibri"/>
                <w:sz w:val="24"/>
                <w:szCs w:val="24"/>
              </w:rPr>
            </w:pPr>
          </w:p>
        </w:tc>
      </w:tr>
      <w:tr w:rsidR="00C731C3">
        <w:trPr>
          <w:trHeight w:val="480"/>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b/>
                <w:sz w:val="24"/>
                <w:szCs w:val="24"/>
              </w:rPr>
              <w:t>Employee signature:</w:t>
            </w:r>
            <w:r>
              <w:rPr>
                <w:rFonts w:ascii="Calibri" w:eastAsia="Calibri" w:hAnsi="Calibri" w:cs="Calibri"/>
                <w:sz w:val="24"/>
                <w:szCs w:val="24"/>
              </w:rPr>
              <w:t xml:space="preserve"> </w:t>
            </w:r>
          </w:p>
          <w:p w:rsidR="00C731C3" w:rsidRDefault="00C731C3">
            <w:pPr>
              <w:rPr>
                <w:rFonts w:ascii="Calibri" w:eastAsia="Calibri" w:hAnsi="Calibri" w:cs="Calibri"/>
                <w:sz w:val="24"/>
                <w:szCs w:val="24"/>
              </w:rPr>
            </w:pPr>
          </w:p>
          <w:p w:rsidR="00C731C3" w:rsidRDefault="00C731C3">
            <w:pPr>
              <w:rPr>
                <w:rFonts w:ascii="Calibri" w:eastAsia="Calibri" w:hAnsi="Calibri" w:cs="Calibri"/>
                <w:sz w:val="24"/>
                <w:szCs w:val="24"/>
              </w:rPr>
            </w:pPr>
          </w:p>
        </w:tc>
      </w:tr>
      <w:tr w:rsidR="00C731C3">
        <w:trPr>
          <w:trHeight w:val="480"/>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b/>
                <w:sz w:val="24"/>
                <w:szCs w:val="24"/>
              </w:rPr>
            </w:pPr>
            <w:r>
              <w:rPr>
                <w:rFonts w:ascii="Calibri" w:eastAsia="Calibri" w:hAnsi="Calibri" w:cs="Calibri"/>
                <w:b/>
                <w:sz w:val="24"/>
                <w:szCs w:val="24"/>
              </w:rPr>
              <w:t>Date:</w:t>
            </w:r>
          </w:p>
        </w:tc>
      </w:tr>
      <w:tr w:rsidR="00C731C3">
        <w:trPr>
          <w:trHeight w:val="350"/>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b/>
                <w:sz w:val="24"/>
                <w:szCs w:val="24"/>
              </w:rPr>
              <w:t>Supervisor:</w:t>
            </w:r>
            <w:r>
              <w:rPr>
                <w:rFonts w:ascii="Calibri" w:eastAsia="Calibri" w:hAnsi="Calibri" w:cs="Calibri"/>
                <w:sz w:val="24"/>
                <w:szCs w:val="24"/>
              </w:rPr>
              <w:t xml:space="preserve"> </w:t>
            </w:r>
          </w:p>
          <w:p w:rsidR="00C731C3" w:rsidRDefault="00C731C3">
            <w:pPr>
              <w:rPr>
                <w:rFonts w:ascii="Calibri" w:eastAsia="Calibri" w:hAnsi="Calibri" w:cs="Calibri"/>
                <w:sz w:val="24"/>
                <w:szCs w:val="24"/>
              </w:rPr>
            </w:pPr>
          </w:p>
          <w:p w:rsidR="00C731C3" w:rsidRDefault="00C731C3">
            <w:pPr>
              <w:rPr>
                <w:rFonts w:ascii="Calibri" w:eastAsia="Calibri" w:hAnsi="Calibri" w:cs="Calibri"/>
                <w:sz w:val="24"/>
                <w:szCs w:val="24"/>
              </w:rPr>
            </w:pPr>
          </w:p>
        </w:tc>
      </w:tr>
      <w:tr w:rsidR="00C731C3">
        <w:trPr>
          <w:trHeight w:val="597"/>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sz w:val="24"/>
                <w:szCs w:val="24"/>
              </w:rPr>
            </w:pPr>
            <w:r>
              <w:rPr>
                <w:rFonts w:ascii="Calibri" w:eastAsia="Calibri" w:hAnsi="Calibri" w:cs="Calibri"/>
                <w:b/>
                <w:sz w:val="24"/>
                <w:szCs w:val="24"/>
              </w:rPr>
              <w:t>Date:</w:t>
            </w:r>
            <w:r>
              <w:rPr>
                <w:rFonts w:ascii="Calibri" w:eastAsia="Calibri" w:hAnsi="Calibri" w:cs="Calibri"/>
                <w:sz w:val="24"/>
                <w:szCs w:val="24"/>
              </w:rPr>
              <w:t xml:space="preserve"> </w:t>
            </w:r>
          </w:p>
        </w:tc>
      </w:tr>
      <w:tr w:rsidR="00C731C3">
        <w:trPr>
          <w:trHeight w:val="1308"/>
        </w:trPr>
        <w:tc>
          <w:tcPr>
            <w:tcW w:w="10908" w:type="dxa"/>
            <w:tcBorders>
              <w:top w:val="single" w:sz="6" w:space="0" w:color="000000"/>
              <w:left w:val="single" w:sz="6" w:space="0" w:color="000000"/>
              <w:bottom w:val="single" w:sz="6" w:space="0" w:color="000000"/>
              <w:right w:val="single" w:sz="6" w:space="0" w:color="000000"/>
            </w:tcBorders>
          </w:tcPr>
          <w:p w:rsidR="00C731C3" w:rsidRDefault="002875EB">
            <w:pPr>
              <w:rPr>
                <w:rFonts w:ascii="Calibri" w:eastAsia="Calibri" w:hAnsi="Calibri" w:cs="Calibri"/>
                <w:b/>
                <w:sz w:val="24"/>
                <w:szCs w:val="24"/>
              </w:rPr>
            </w:pPr>
            <w:r>
              <w:rPr>
                <w:rFonts w:ascii="Calibri" w:eastAsia="Calibri" w:hAnsi="Calibri" w:cs="Calibri"/>
                <w:b/>
                <w:sz w:val="24"/>
                <w:szCs w:val="24"/>
              </w:rPr>
              <w:t xml:space="preserve">EQUAL EMPLOYMENT: </w:t>
            </w:r>
            <w:r>
              <w:rPr>
                <w:rFonts w:ascii="Calibri" w:eastAsia="Calibri" w:hAnsi="Calibri" w:cs="Calibri"/>
                <w:sz w:val="24"/>
                <w:szCs w:val="24"/>
              </w:rPr>
              <w:t>211info provides equal employment opportunities to all employees and applicants for employment without regard to race, color, religion, gender, sexual orientation, gender identity or expression, national origin, age, disability, genetic information, marita</w:t>
            </w:r>
            <w:r>
              <w:rPr>
                <w:rFonts w:ascii="Calibri" w:eastAsia="Calibri" w:hAnsi="Calibri" w:cs="Calibri"/>
                <w:sz w:val="24"/>
                <w:szCs w:val="24"/>
              </w:rPr>
              <w:t xml:space="preserve">l status, amnesty, or veteran status. 211info expressly prohibits any form of unlawful employee harassment based on race, color, religion, gender, sexual orientation, gender identity or expression, national origin, age, genetic information, disability, or </w:t>
            </w:r>
            <w:r>
              <w:rPr>
                <w:rFonts w:ascii="Calibri" w:eastAsia="Calibri" w:hAnsi="Calibri" w:cs="Calibri"/>
                <w:sz w:val="24"/>
                <w:szCs w:val="24"/>
              </w:rPr>
              <w:t>veteran status.</w:t>
            </w:r>
            <w:r>
              <w:rPr>
                <w:rFonts w:ascii="Calibri" w:eastAsia="Calibri" w:hAnsi="Calibri" w:cs="Calibri"/>
                <w:color w:val="333333"/>
                <w:sz w:val="24"/>
                <w:szCs w:val="24"/>
              </w:rPr>
              <w:t xml:space="preserve">  </w:t>
            </w:r>
          </w:p>
        </w:tc>
      </w:tr>
    </w:tbl>
    <w:p w:rsidR="00C731C3" w:rsidRDefault="00C731C3">
      <w:pPr>
        <w:rPr>
          <w:rFonts w:ascii="Calibri" w:eastAsia="Calibri" w:hAnsi="Calibri" w:cs="Calibri"/>
          <w:sz w:val="24"/>
          <w:szCs w:val="24"/>
        </w:rPr>
      </w:pPr>
    </w:p>
    <w:p w:rsidR="00C731C3" w:rsidRDefault="00C731C3">
      <w:pPr>
        <w:rPr>
          <w:rFonts w:ascii="Calibri" w:eastAsia="Calibri" w:hAnsi="Calibri" w:cs="Calibri"/>
          <w:sz w:val="24"/>
          <w:szCs w:val="24"/>
        </w:rPr>
      </w:pPr>
    </w:p>
    <w:sectPr w:rsidR="00C731C3">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EB" w:rsidRDefault="002875EB">
      <w:r>
        <w:separator/>
      </w:r>
    </w:p>
  </w:endnote>
  <w:endnote w:type="continuationSeparator" w:id="0">
    <w:p w:rsidR="002875EB" w:rsidRDefault="0028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C3" w:rsidRDefault="002875E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3353E0">
      <w:rPr>
        <w:color w:val="000000"/>
      </w:rPr>
      <w:fldChar w:fldCharType="separate"/>
    </w:r>
    <w:r w:rsidR="003353E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EB" w:rsidRDefault="002875EB">
      <w:r>
        <w:separator/>
      </w:r>
    </w:p>
  </w:footnote>
  <w:footnote w:type="continuationSeparator" w:id="0">
    <w:p w:rsidR="002875EB" w:rsidRDefault="00287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5101"/>
    <w:multiLevelType w:val="multilevel"/>
    <w:tmpl w:val="A6546A0E"/>
    <w:lvl w:ilvl="0">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C3"/>
    <w:rsid w:val="002875EB"/>
    <w:rsid w:val="003353E0"/>
    <w:rsid w:val="00C7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F1480-3938-415C-80D0-DD97DB51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B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rsid w:val="00792EB6"/>
    <w:pPr>
      <w:tabs>
        <w:tab w:val="center" w:pos="4320"/>
        <w:tab w:val="right" w:pos="8640"/>
      </w:tabs>
    </w:pPr>
  </w:style>
  <w:style w:type="character" w:customStyle="1" w:styleId="FooterChar">
    <w:name w:val="Footer Char"/>
    <w:link w:val="Footer"/>
    <w:rsid w:val="00792EB6"/>
    <w:rPr>
      <w:rFonts w:ascii="Times New Roman" w:eastAsia="Times New Roman" w:hAnsi="Times New Roman" w:cs="Times New Roman"/>
      <w:sz w:val="20"/>
      <w:szCs w:val="20"/>
    </w:rPr>
  </w:style>
  <w:style w:type="character" w:styleId="PageNumber">
    <w:name w:val="page number"/>
    <w:basedOn w:val="DefaultParagraphFont"/>
    <w:rsid w:val="00792EB6"/>
  </w:style>
  <w:style w:type="character" w:customStyle="1" w:styleId="st1">
    <w:name w:val="st1"/>
    <w:rsid w:val="007B11AA"/>
  </w:style>
  <w:style w:type="character" w:styleId="CommentReference">
    <w:name w:val="annotation reference"/>
    <w:basedOn w:val="DefaultParagraphFont"/>
    <w:uiPriority w:val="99"/>
    <w:semiHidden/>
    <w:unhideWhenUsed/>
    <w:rsid w:val="001B3794"/>
    <w:rPr>
      <w:sz w:val="16"/>
      <w:szCs w:val="16"/>
    </w:rPr>
  </w:style>
  <w:style w:type="paragraph" w:styleId="CommentText">
    <w:name w:val="annotation text"/>
    <w:basedOn w:val="Normal"/>
    <w:link w:val="CommentTextChar"/>
    <w:uiPriority w:val="99"/>
    <w:semiHidden/>
    <w:unhideWhenUsed/>
    <w:rsid w:val="001B3794"/>
  </w:style>
  <w:style w:type="character" w:customStyle="1" w:styleId="CommentTextChar">
    <w:name w:val="Comment Text Char"/>
    <w:basedOn w:val="DefaultParagraphFont"/>
    <w:link w:val="CommentText"/>
    <w:uiPriority w:val="99"/>
    <w:semiHidden/>
    <w:rsid w:val="001B379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B3794"/>
    <w:rPr>
      <w:b/>
      <w:bCs/>
    </w:rPr>
  </w:style>
  <w:style w:type="character" w:customStyle="1" w:styleId="CommentSubjectChar">
    <w:name w:val="Comment Subject Char"/>
    <w:basedOn w:val="CommentTextChar"/>
    <w:link w:val="CommentSubject"/>
    <w:uiPriority w:val="99"/>
    <w:semiHidden/>
    <w:rsid w:val="001B3794"/>
    <w:rPr>
      <w:rFonts w:ascii="Times New Roman" w:eastAsia="Times New Roman" w:hAnsi="Times New Roman"/>
      <w:b/>
      <w:bCs/>
    </w:rPr>
  </w:style>
  <w:style w:type="paragraph" w:styleId="BalloonText">
    <w:name w:val="Balloon Text"/>
    <w:basedOn w:val="Normal"/>
    <w:link w:val="BalloonTextChar"/>
    <w:uiPriority w:val="99"/>
    <w:semiHidden/>
    <w:unhideWhenUsed/>
    <w:rsid w:val="001B3794"/>
    <w:rPr>
      <w:rFonts w:ascii="Tahoma" w:hAnsi="Tahoma" w:cs="Tahoma"/>
      <w:sz w:val="16"/>
      <w:szCs w:val="16"/>
    </w:rPr>
  </w:style>
  <w:style w:type="character" w:customStyle="1" w:styleId="BalloonTextChar">
    <w:name w:val="Balloon Text Char"/>
    <w:basedOn w:val="DefaultParagraphFont"/>
    <w:link w:val="BalloonText"/>
    <w:uiPriority w:val="99"/>
    <w:semiHidden/>
    <w:rsid w:val="001B3794"/>
    <w:rPr>
      <w:rFonts w:ascii="Tahoma" w:eastAsia="Times New Roman" w:hAnsi="Tahoma" w:cs="Tahoma"/>
      <w:sz w:val="16"/>
      <w:szCs w:val="16"/>
    </w:rPr>
  </w:style>
  <w:style w:type="paragraph" w:styleId="NoSpacing">
    <w:name w:val="No Spacing"/>
    <w:uiPriority w:val="1"/>
    <w:qFormat/>
    <w:rsid w:val="00C526D7"/>
    <w:rPr>
      <w:rFonts w:asciiTheme="minorHAnsi" w:eastAsiaTheme="minorHAnsi" w:hAnsiTheme="minorHAnsi" w:cstheme="minorBidi"/>
      <w:sz w:val="22"/>
      <w:szCs w:val="22"/>
    </w:rPr>
  </w:style>
  <w:style w:type="paragraph" w:styleId="ListParagraph">
    <w:name w:val="List Paragraph"/>
    <w:basedOn w:val="Normal"/>
    <w:uiPriority w:val="34"/>
    <w:qFormat/>
    <w:rsid w:val="00CF6B10"/>
    <w:pPr>
      <w:ind w:left="720"/>
      <w:contextualSpacing/>
    </w:pPr>
    <w:rPr>
      <w:sz w:val="24"/>
      <w:szCs w:val="24"/>
    </w:rPr>
  </w:style>
  <w:style w:type="paragraph" w:styleId="NormalWeb">
    <w:name w:val="Normal (Web)"/>
    <w:basedOn w:val="Normal"/>
    <w:uiPriority w:val="99"/>
    <w:unhideWhenUsed/>
    <w:rsid w:val="00822404"/>
    <w:pPr>
      <w:spacing w:before="100" w:beforeAutospacing="1" w:after="100" w:afterAutospacing="1"/>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hrSZtpXVOP2ZF6LczhJuYAztmg==">AMUW2mXL6aWUGCZPD50xD3i6ctekL3rZpDpD0+Ayb8cBrw+3Z4zsRzGMCJN9rayUl+OgDAitYpnLixUnxnLTxAGPajyWvMeGCAc3FDz9R5OHxKDD2gnFJqc=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Perkins</dc:creator>
  <cp:lastModifiedBy>Edgar Sanchez</cp:lastModifiedBy>
  <cp:revision>2</cp:revision>
  <dcterms:created xsi:type="dcterms:W3CDTF">2022-07-18T21:23:00Z</dcterms:created>
  <dcterms:modified xsi:type="dcterms:W3CDTF">2022-07-18T21:23:00Z</dcterms:modified>
</cp:coreProperties>
</file>